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附件2：</w:t>
      </w:r>
    </w:p>
    <w:p>
      <w:pPr>
        <w:spacing w:line="540" w:lineRule="exact"/>
        <w:jc w:val="center"/>
        <w:rPr>
          <w:rFonts w:hint="eastAsia" w:ascii="仿宋_GB2312" w:hAnsi="仿宋_GB2312" w:eastAsia="仿宋_GB2312" w:cs="仿宋_GB2312"/>
          <w:b/>
          <w:kern w:val="0"/>
          <w:sz w:val="52"/>
          <w:szCs w:val="52"/>
        </w:rPr>
      </w:pPr>
    </w:p>
    <w:p>
      <w:pPr>
        <w:spacing w:line="540" w:lineRule="exact"/>
        <w:jc w:val="center"/>
        <w:rPr>
          <w:rFonts w:hint="eastAsia" w:ascii="仿宋_GB2312" w:hAnsi="仿宋_GB2312" w:eastAsia="仿宋_GB2312" w:cs="仿宋_GB2312"/>
          <w:b/>
          <w:kern w:val="0"/>
          <w:sz w:val="52"/>
          <w:szCs w:val="52"/>
        </w:rPr>
      </w:pPr>
    </w:p>
    <w:p>
      <w:pPr>
        <w:spacing w:line="540" w:lineRule="exact"/>
        <w:jc w:val="center"/>
        <w:rPr>
          <w:rFonts w:hint="eastAsia" w:ascii="仿宋_GB2312" w:hAnsi="仿宋_GB2312" w:eastAsia="仿宋_GB2312" w:cs="仿宋_GB2312"/>
          <w:b/>
          <w:kern w:val="0"/>
          <w:sz w:val="52"/>
          <w:szCs w:val="52"/>
        </w:rPr>
      </w:pPr>
    </w:p>
    <w:p>
      <w:pPr>
        <w:spacing w:line="540" w:lineRule="exact"/>
        <w:jc w:val="center"/>
        <w:rPr>
          <w:rFonts w:hint="eastAsia" w:ascii="仿宋_GB2312" w:hAnsi="仿宋_GB2312" w:eastAsia="仿宋_GB2312" w:cs="仿宋_GB2312"/>
          <w:b/>
          <w:kern w:val="0"/>
          <w:sz w:val="52"/>
          <w:szCs w:val="52"/>
        </w:rPr>
      </w:pPr>
    </w:p>
    <w:p>
      <w:pPr>
        <w:spacing w:line="540" w:lineRule="exact"/>
        <w:jc w:val="center"/>
        <w:rPr>
          <w:rFonts w:hint="eastAsia" w:ascii="仿宋_GB2312" w:hAnsi="仿宋_GB2312" w:eastAsia="仿宋_GB2312" w:cs="仿宋_GB2312"/>
          <w:b/>
          <w:kern w:val="0"/>
          <w:sz w:val="52"/>
          <w:szCs w:val="52"/>
        </w:rPr>
      </w:pPr>
    </w:p>
    <w:p>
      <w:pPr>
        <w:spacing w:line="540" w:lineRule="exact"/>
        <w:jc w:val="center"/>
        <w:rPr>
          <w:rFonts w:hint="eastAsia" w:ascii="仿宋_GB2312" w:hAnsi="仿宋_GB2312" w:eastAsia="仿宋_GB2312" w:cs="仿宋_GB2312"/>
          <w:b/>
          <w:kern w:val="0"/>
          <w:sz w:val="52"/>
          <w:szCs w:val="52"/>
        </w:rPr>
      </w:pPr>
    </w:p>
    <w:p>
      <w:pPr>
        <w:spacing w:line="540" w:lineRule="exact"/>
        <w:jc w:val="center"/>
        <w:rPr>
          <w:rFonts w:hint="eastAsia" w:ascii="仿宋_GB2312" w:hAnsi="仿宋_GB2312" w:eastAsia="仿宋_GB2312" w:cs="仿宋_GB2312"/>
          <w:b/>
          <w:kern w:val="0"/>
          <w:sz w:val="48"/>
          <w:szCs w:val="48"/>
        </w:rPr>
      </w:pPr>
      <w:r>
        <w:rPr>
          <w:rFonts w:hint="eastAsia" w:ascii="仿宋_GB2312" w:hAnsi="仿宋_GB2312" w:eastAsia="仿宋_GB2312" w:cs="仿宋_GB2312"/>
          <w:b/>
          <w:kern w:val="0"/>
          <w:sz w:val="48"/>
          <w:szCs w:val="48"/>
        </w:rPr>
        <w:t>项目支出绩效自评报告</w:t>
      </w:r>
    </w:p>
    <w:p>
      <w:pPr>
        <w:spacing w:line="540" w:lineRule="exact"/>
        <w:jc w:val="center"/>
        <w:rPr>
          <w:rFonts w:hint="eastAsia" w:ascii="仿宋_GB2312" w:hAnsi="仿宋_GB2312" w:eastAsia="仿宋_GB2312" w:cs="仿宋_GB2312"/>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xml:space="preserve">（   </w:t>
      </w:r>
      <w:r>
        <w:rPr>
          <w:rStyle w:val="18"/>
          <w:rFonts w:hint="eastAsia" w:ascii="仿宋_GB2312" w:hAnsi="仿宋_GB2312" w:eastAsia="仿宋_GB2312" w:cs="仿宋_GB2312"/>
          <w:spacing w:val="-4"/>
          <w:sz w:val="32"/>
          <w:szCs w:val="32"/>
        </w:rPr>
        <w:t>2023</w:t>
      </w:r>
      <w:r>
        <w:rPr>
          <w:rFonts w:hint="eastAsia" w:ascii="仿宋_GB2312" w:hAnsi="仿宋_GB2312" w:eastAsia="仿宋_GB2312" w:cs="仿宋_GB2312"/>
          <w:kern w:val="0"/>
          <w:sz w:val="36"/>
          <w:szCs w:val="36"/>
        </w:rPr>
        <w:t xml:space="preserve">  年度）</w:t>
      </w:r>
    </w:p>
    <w:p>
      <w:pPr>
        <w:spacing w:line="540" w:lineRule="exact"/>
        <w:jc w:val="center"/>
        <w:rPr>
          <w:rFonts w:hint="eastAsia" w:ascii="仿宋_GB2312" w:hAnsi="仿宋_GB2312" w:eastAsia="仿宋_GB2312" w:cs="仿宋_GB2312"/>
          <w:kern w:val="0"/>
          <w:sz w:val="30"/>
          <w:szCs w:val="30"/>
        </w:rPr>
      </w:pPr>
    </w:p>
    <w:p>
      <w:pPr>
        <w:spacing w:line="540" w:lineRule="exact"/>
        <w:jc w:val="center"/>
        <w:rPr>
          <w:rFonts w:hint="eastAsia" w:ascii="仿宋_GB2312" w:hAnsi="仿宋_GB2312" w:eastAsia="仿宋_GB2312" w:cs="仿宋_GB2312"/>
          <w:kern w:val="0"/>
          <w:sz w:val="30"/>
          <w:szCs w:val="30"/>
        </w:rPr>
      </w:pPr>
    </w:p>
    <w:p>
      <w:pPr>
        <w:spacing w:line="540" w:lineRule="exact"/>
        <w:jc w:val="center"/>
        <w:rPr>
          <w:rFonts w:hint="eastAsia" w:ascii="仿宋_GB2312" w:hAnsi="仿宋_GB2312" w:eastAsia="仿宋_GB2312" w:cs="仿宋_GB2312"/>
          <w:kern w:val="0"/>
          <w:sz w:val="30"/>
          <w:szCs w:val="30"/>
        </w:rPr>
      </w:pPr>
    </w:p>
    <w:p>
      <w:pPr>
        <w:spacing w:line="540" w:lineRule="exact"/>
        <w:jc w:val="center"/>
        <w:rPr>
          <w:rFonts w:hint="eastAsia" w:ascii="仿宋_GB2312" w:hAnsi="仿宋_GB2312" w:eastAsia="仿宋_GB2312" w:cs="仿宋_GB2312"/>
          <w:kern w:val="0"/>
          <w:sz w:val="30"/>
          <w:szCs w:val="30"/>
        </w:rPr>
      </w:pPr>
    </w:p>
    <w:p>
      <w:pPr>
        <w:spacing w:line="540" w:lineRule="exact"/>
        <w:jc w:val="center"/>
        <w:rPr>
          <w:rFonts w:hint="eastAsia" w:ascii="仿宋_GB2312" w:hAnsi="仿宋_GB2312" w:eastAsia="仿宋_GB2312" w:cs="仿宋_GB2312"/>
          <w:kern w:val="0"/>
          <w:sz w:val="30"/>
          <w:szCs w:val="30"/>
        </w:rPr>
      </w:pPr>
    </w:p>
    <w:p>
      <w:pPr>
        <w:spacing w:line="540" w:lineRule="exact"/>
        <w:jc w:val="center"/>
        <w:rPr>
          <w:rFonts w:hint="eastAsia" w:ascii="仿宋_GB2312" w:hAnsi="仿宋_GB2312" w:eastAsia="仿宋_GB2312" w:cs="仿宋_GB2312"/>
          <w:kern w:val="0"/>
          <w:sz w:val="30"/>
          <w:szCs w:val="30"/>
        </w:rPr>
      </w:pPr>
    </w:p>
    <w:p>
      <w:pPr>
        <w:spacing w:line="540" w:lineRule="exact"/>
        <w:rPr>
          <w:rFonts w:hint="eastAsia" w:ascii="仿宋_GB2312" w:hAnsi="仿宋_GB2312" w:eastAsia="仿宋_GB2312" w:cs="仿宋_GB2312"/>
          <w:kern w:val="0"/>
          <w:sz w:val="30"/>
          <w:szCs w:val="30"/>
        </w:rPr>
      </w:pPr>
    </w:p>
    <w:p>
      <w:pPr>
        <w:spacing w:line="700" w:lineRule="exact"/>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xml:space="preserve">     </w:t>
      </w:r>
    </w:p>
    <w:p>
      <w:pPr>
        <w:spacing w:line="700" w:lineRule="exact"/>
        <w:ind w:firstLine="900" w:firstLineChars="25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项目名称：</w:t>
      </w:r>
      <w:r>
        <w:rPr>
          <w:rStyle w:val="18"/>
          <w:rFonts w:hint="eastAsia" w:ascii="仿宋_GB2312" w:hAnsi="仿宋_GB2312" w:eastAsia="仿宋_GB2312" w:cs="仿宋_GB2312"/>
          <w:spacing w:val="-4"/>
          <w:sz w:val="32"/>
          <w:szCs w:val="32"/>
        </w:rPr>
        <w:t>2023年中央财政就业补助资金</w:t>
      </w:r>
    </w:p>
    <w:p>
      <w:pPr>
        <w:spacing w:line="540" w:lineRule="exact"/>
        <w:ind w:firstLine="567"/>
        <w:rPr>
          <w:rFonts w:hint="eastAsia" w:ascii="仿宋_GB2312" w:hAnsi="仿宋_GB2312" w:eastAsia="仿宋_GB2312" w:cs="仿宋_GB2312"/>
          <w:b/>
          <w:bCs/>
          <w:spacing w:val="-4"/>
          <w:sz w:val="32"/>
          <w:szCs w:val="32"/>
        </w:rPr>
      </w:pPr>
      <w:r>
        <w:rPr>
          <w:rFonts w:hint="eastAsia" w:ascii="仿宋_GB2312" w:hAnsi="仿宋_GB2312" w:eastAsia="仿宋_GB2312" w:cs="仿宋_GB2312"/>
          <w:kern w:val="0"/>
          <w:sz w:val="36"/>
          <w:szCs w:val="36"/>
        </w:rPr>
        <w:t xml:space="preserve">  实施单位（公章）：</w:t>
      </w:r>
      <w:r>
        <w:rPr>
          <w:rStyle w:val="18"/>
          <w:rFonts w:hint="eastAsia" w:ascii="仿宋_GB2312" w:hAnsi="仿宋_GB2312" w:eastAsia="仿宋_GB2312" w:cs="仿宋_GB2312"/>
          <w:spacing w:val="-4"/>
          <w:sz w:val="28"/>
          <w:szCs w:val="28"/>
        </w:rPr>
        <w:t>木垒县人力资源和社会保障局本级</w:t>
      </w:r>
    </w:p>
    <w:p>
      <w:pPr>
        <w:spacing w:line="540" w:lineRule="exact"/>
        <w:ind w:firstLine="900" w:firstLineChars="250"/>
        <w:rPr>
          <w:rFonts w:hint="eastAsia" w:ascii="仿宋_GB2312" w:hAnsi="仿宋_GB2312" w:eastAsia="仿宋_GB2312" w:cs="仿宋_GB2312"/>
          <w:b/>
          <w:bCs/>
          <w:spacing w:val="-4"/>
          <w:sz w:val="28"/>
          <w:szCs w:val="28"/>
        </w:rPr>
      </w:pPr>
      <w:r>
        <w:rPr>
          <w:rFonts w:hint="eastAsia" w:ascii="仿宋_GB2312" w:hAnsi="仿宋_GB2312" w:eastAsia="仿宋_GB2312" w:cs="仿宋_GB2312"/>
          <w:kern w:val="0"/>
          <w:sz w:val="36"/>
          <w:szCs w:val="36"/>
        </w:rPr>
        <w:t>主管部门（公章）：</w:t>
      </w:r>
      <w:r>
        <w:rPr>
          <w:rStyle w:val="18"/>
          <w:rFonts w:hint="eastAsia" w:ascii="仿宋_GB2312" w:hAnsi="仿宋_GB2312" w:eastAsia="仿宋_GB2312" w:cs="仿宋_GB2312"/>
          <w:spacing w:val="-4"/>
          <w:sz w:val="28"/>
          <w:szCs w:val="28"/>
        </w:rPr>
        <w:t>木垒县人力资源和社会保障局本级</w:t>
      </w:r>
    </w:p>
    <w:p>
      <w:pPr>
        <w:spacing w:line="540" w:lineRule="exact"/>
        <w:ind w:firstLine="900" w:firstLineChars="250"/>
        <w:rPr>
          <w:rFonts w:hint="eastAsia" w:ascii="仿宋_GB2312" w:hAnsi="仿宋_GB2312" w:eastAsia="仿宋_GB2312" w:cs="仿宋_GB2312"/>
          <w:b/>
          <w:bCs/>
          <w:spacing w:val="-4"/>
          <w:sz w:val="32"/>
          <w:szCs w:val="32"/>
        </w:rPr>
      </w:pPr>
      <w:r>
        <w:rPr>
          <w:rFonts w:hint="eastAsia" w:ascii="仿宋_GB2312" w:hAnsi="仿宋_GB2312" w:eastAsia="仿宋_GB2312" w:cs="仿宋_GB2312"/>
          <w:kern w:val="0"/>
          <w:sz w:val="36"/>
          <w:szCs w:val="36"/>
        </w:rPr>
        <w:t>项目负责人（签章）：</w:t>
      </w:r>
      <w:r>
        <w:rPr>
          <w:rStyle w:val="18"/>
          <w:rFonts w:hint="eastAsia" w:ascii="仿宋_GB2312" w:hAnsi="仿宋_GB2312" w:eastAsia="仿宋_GB2312" w:cs="仿宋_GB2312"/>
          <w:spacing w:val="-4"/>
          <w:sz w:val="32"/>
          <w:szCs w:val="32"/>
        </w:rPr>
        <w:t>吴艳玲</w:t>
      </w:r>
    </w:p>
    <w:p>
      <w:pPr>
        <w:spacing w:line="540" w:lineRule="exact"/>
        <w:ind w:left="273" w:firstLine="567"/>
        <w:rPr>
          <w:rStyle w:val="18"/>
          <w:rFonts w:hint="eastAsia" w:ascii="仿宋_GB2312" w:hAnsi="仿宋_GB2312" w:eastAsia="仿宋_GB2312" w:cs="仿宋_GB2312"/>
          <w:spacing w:val="-4"/>
          <w:sz w:val="32"/>
          <w:szCs w:val="32"/>
        </w:rPr>
      </w:pPr>
      <w:r>
        <w:rPr>
          <w:rFonts w:hint="eastAsia" w:ascii="仿宋_GB2312" w:hAnsi="仿宋_GB2312" w:eastAsia="仿宋_GB2312" w:cs="仿宋_GB2312"/>
          <w:kern w:val="0"/>
          <w:sz w:val="36"/>
          <w:szCs w:val="36"/>
        </w:rPr>
        <w:t>填报时间：</w:t>
      </w:r>
      <w:r>
        <w:rPr>
          <w:rStyle w:val="18"/>
          <w:rFonts w:hint="eastAsia" w:ascii="仿宋_GB2312" w:hAnsi="仿宋_GB2312" w:eastAsia="仿宋_GB2312" w:cs="仿宋_GB2312"/>
          <w:spacing w:val="-4"/>
          <w:sz w:val="32"/>
          <w:szCs w:val="32"/>
        </w:rPr>
        <w:t>2024年04月11日</w:t>
      </w:r>
    </w:p>
    <w:p>
      <w:pPr>
        <w:spacing w:line="700" w:lineRule="exact"/>
        <w:ind w:firstLine="708" w:firstLineChars="236"/>
        <w:jc w:val="left"/>
        <w:rPr>
          <w:rFonts w:hint="eastAsia" w:ascii="仿宋_GB2312" w:hAnsi="仿宋_GB2312" w:eastAsia="仿宋_GB2312" w:cs="仿宋_GB2312"/>
          <w:kern w:val="0"/>
          <w:sz w:val="30"/>
          <w:szCs w:val="30"/>
        </w:rPr>
      </w:pPr>
    </w:p>
    <w:p>
      <w:pPr>
        <w:spacing w:line="540" w:lineRule="exact"/>
        <w:rPr>
          <w:rStyle w:val="18"/>
          <w:rFonts w:hint="eastAsia" w:ascii="仿宋_GB2312" w:hAnsi="仿宋_GB2312" w:eastAsia="仿宋_GB2312" w:cs="仿宋_GB2312"/>
          <w:b w:val="0"/>
          <w:spacing w:val="-4"/>
          <w:sz w:val="32"/>
          <w:szCs w:val="32"/>
        </w:rPr>
      </w:pP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一、基本情况</w:t>
      </w:r>
    </w:p>
    <w:p>
      <w:pPr>
        <w:spacing w:line="540" w:lineRule="exact"/>
        <w:ind w:firstLine="567"/>
        <w:rPr>
          <w:rStyle w:val="18"/>
          <w:rFonts w:hint="eastAsia" w:ascii="仿宋_GB2312" w:hAnsi="仿宋_GB2312" w:eastAsia="仿宋_GB2312" w:cs="仿宋_GB2312"/>
          <w:spacing w:val="-4"/>
          <w:sz w:val="32"/>
          <w:szCs w:val="32"/>
          <w:lang w:val="en-US" w:eastAsia="zh-CN"/>
        </w:rPr>
      </w:pPr>
      <w:r>
        <w:rPr>
          <w:rStyle w:val="18"/>
          <w:rFonts w:hint="eastAsia" w:ascii="仿宋_GB2312" w:hAnsi="仿宋_GB2312" w:eastAsia="仿宋_GB2312" w:cs="仿宋_GB2312"/>
          <w:spacing w:val="-4"/>
          <w:sz w:val="32"/>
          <w:szCs w:val="32"/>
        </w:rPr>
        <w:t>（一）项目概况</w:t>
      </w:r>
      <w:r>
        <w:rPr>
          <w:rStyle w:val="18"/>
          <w:rFonts w:hint="eastAsia" w:ascii="仿宋_GB2312" w:hAnsi="仿宋_GB2312" w:eastAsia="仿宋_GB2312" w:cs="仿宋_GB2312"/>
          <w:spacing w:val="-4"/>
          <w:sz w:val="32"/>
          <w:szCs w:val="32"/>
          <w:lang w:eastAsia="zh-CN"/>
        </w:rPr>
        <w:t>。</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（一）项目概况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1.项目背景</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为保障就业创业工作发展，根据中央、自治区、自治州《关于进一步做好新形势下就业创业工作的意见》立项，设立了中央就业补助资金项目补助经费，由木垒县人力资源和社会保障局主管，资金主要用于用于职业培训补贴、职业技能鉴定补贴、社会保险补贴、灵活就业社保补贴、企业吸纳新疆籍员工社保补贴、公益性岗位补贴、就业见习补贴等人员支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2.项目主要内容</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严格按照昌州财社[2022]41号关于提前下达2023年中央就业补助资金的通知、昌州财社[2023]22号关于拨付2023年中央财政就业补助资金（第二批）预算的通知文件规定支付就业资金使用范围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资金主要用于2023年就业补助工作经费支出，主要用于对灵活就业、企业吸纳新疆籍员工人群、公益性岗位、就业见习等人员发放职业培训、职业技能鉴定、社会保险、灵活就业社保、企业吸纳新疆籍员工社保、公益性岗位、就业见习等补助。</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3.项目实施情况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本项目由木垒县人力资源和社会保障局牵头，主要对我县职业技能培训、职业技能鉴定、灵活就业人员等发放补助。</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2023年1月，由木垒县各个单位、社区，各个乡镇部门上报经核实后的补助人员花名册，由木垒县人力资源和社会保障局进行确认审核后交由人社局就业培训科，由就业培训科审批后交财务室，由财务室人员复核后将补助资金发放至各补助人员银行卡内，项目于2023年12月31日已执行完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2023年中央就业补助项目资金于2023年1月1日自治区下发的昌州财社[2022]41号文件、昌州财社[2023]22号安排资金为1100万元，为上级财政资金，实际到位率100万元，资金到位率100%，实际执行1100万元，执行率100%，资金落实到位。为确保项目资金的安全有效使用、安全运行，提高资金的使用效率，我单位严格按照木垒县人力资源和社会保障局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（二）项目绩效目标</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1.总体目标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向木垒县各类劳动力和吸纳企业发放就业补助资金，更好发挥就业补助资金作用，鼓励带动就业积极性，保障我县就业工作平稳运行；完成城镇新增就业750人；城镇就业困难人员实现就业60人，失业再就业270人，新增创业190人，创业带动就业325人，职业技能培训7000人次，农村劳动力转移就业1.46万人次，应届高校毕业生就业率达到90%以上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2.阶段性目标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2023年5月31日前使用中央就业补助资金347.91万元完成城镇新增就业296人；城镇就业困难人员实现就业14人，失业再就业288人，新增创业145人，创业带动就业236人，职业技能培训7000人次，农村劳动力转移就业8034万人次，应届高校毕业生就业率达到90%以上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2023年8月31日前使用中央就业补助资金700万元完成城镇新增就业472人；城镇就业困难人员实现就业32人，失业再就业444人，新增创业176人，创业带动就业274人，职业技能培训7271人次，农村劳动力转移就业12523万人次，应届高校毕业生就业率达到95%以上目标。</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二、绩效评价工作开展情况</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（一）绩效评价目的、对象和范围</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1.绩效评价目的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通过对2023年度本级财政下拨的木垒县人力资源和社会保障局中央就业补助资金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2.绩效评价对象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木垒县人力资源和社会保障局中央就业补助资金项目支出资金。</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3.绩效评价范围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次评价主要对木垒县人力资源和社会保障局中央就业补助资金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（二）绩效评价原则、评价指标体系、评价方法、评价标准</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（1）科学规范原则。坚持严格执行规定的程序，按照科学可行的要求，采用定量与定性分析相结合的方法。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（2）公正公开原则。坚持符合真实、客观、公正的要求，依法公开并接受监督。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（3）分级分类原则。坚持根据评价对象的特点分类组织实施。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（4）绩效相关原则。应当针对具体支出及其产出绩效进行，评价结果应当清晰反映支出和产出绩效之间的紧密对应关系。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2.评价指标体系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项目特征及具体情况，本次绩效评价指标体系主要分为共性指标和个性指标两大类。共性指标下设决策与过程4个一级指标，其中：项目决策下项目立项、绩效目标、资金投入3个二级指标；过程下设资金管理和组织实施2个二级指标。个性指标下设产出、成本和效益3个一级指标，其中产出下设产出数量、产出质量、产出时效、产出成本5个二级指标，效益下设社会效益1个二级指标。并以此设定各项指标的分值分配：决策、过程、产出、效果。本次绩效评价实行百分制，即各项指标值之和为100分，项目采用综合评分法进行绩效评价。见附表1。</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本项目主要采用全面评价和重点评价相结合、现场评价和非现场评价相结合的方式，运用综合评分法进行评价。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（三）绩效评价工作过程</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1.前期准备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 2024年3月1日，我单位在收到自评工作任务后及时组织了绩效评价工作小组，其中赵忠花为组长，主要负责工作安排，王继元为副组长，主要负责报告的审核、指导，王健伟组员负责资料、数据整理，编制报告。小组制定了项目评价的工作思路及工作安排，参考学习了相关政策制度、实施方案和相关的工作文件，为评价工作的开展提供工作指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2.2024年3月10日，评价组通过前期调研确定绩效评价对象和范围，确定了评价的目的、方法以及评价的原则；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 2024年3月20日，根据项目的实施内容和特征制定了评价指标体系及评价标准以及评价实施方案，修正并确定所需资料清单，最终确定绩效评价工作方案；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2024年3月21日- 3月25日，评价工作进入实施阶段：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评价组收集绩效评价相关数据资料，进行现场调研、座谈；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3.分析评价：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2024年3月25日-4月5日，评价组按照绩效评价的原则和规范，对取得的资料进行审查核实，对采集的数据进行分析，按照绩效评价指标评分表逐项进行打分、分析，汇总各方评价结果，综合分析并形成评价结论。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4.撰写报告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5.资料归档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三、综合评价情况及评价结论</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（一）综合评价情况及评价结论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木垒县人力资源和社会保障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本项目通过制定的评价指标体系及评分标准，运用数据采集、问卷调查及访谈等方式，对本项目绩效进行客观评价，最终评分结果：总分为95分。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（二）相关评分表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各部分权重和绩效分值如下表所示：（详细评分表见附表）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项目决策</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项目过程</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项目产出</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项目效益</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合计分值</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权重</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15</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15</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50</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20</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分值</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15</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15</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45</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20</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95</w:t>
      </w:r>
    </w:p>
    <w:p>
      <w:pPr>
        <w:spacing w:line="540" w:lineRule="exact"/>
        <w:ind w:firstLine="640"/>
        <w:rPr>
          <w:rStyle w:val="18"/>
          <w:rFonts w:hint="eastAsia" w:ascii="仿宋_GB2312" w:hAnsi="仿宋_GB2312" w:eastAsia="仿宋_GB2312" w:cs="仿宋_GB2312"/>
        </w:rPr>
      </w:pPr>
      <w:r>
        <w:rPr>
          <w:rStyle w:val="18"/>
          <w:rFonts w:hint="eastAsia" w:ascii="仿宋_GB2312" w:hAnsi="仿宋_GB2312" w:eastAsia="仿宋_GB2312" w:cs="仿宋_GB2312"/>
          <w:b w:val="0"/>
          <w:spacing w:val="-4"/>
          <w:sz w:val="32"/>
          <w:szCs w:val="32"/>
        </w:rPr>
        <w:t>四、绩效评价指标分析</w:t>
      </w:r>
      <w:r>
        <w:rPr>
          <w:rStyle w:val="18"/>
          <w:rFonts w:hint="eastAsia" w:ascii="仿宋_GB2312" w:hAnsi="仿宋_GB2312" w:eastAsia="仿宋_GB2312" w:cs="仿宋_GB2312"/>
        </w:rPr>
        <w:t xml:space="preserve"> </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18"/>
          <w:rFonts w:hint="eastAsia" w:ascii="仿宋_GB2312" w:hAnsi="仿宋_GB2312" w:eastAsia="仿宋_GB2312" w:cs="仿宋_GB2312"/>
          <w:spacing w:val="-4"/>
          <w:sz w:val="32"/>
          <w:szCs w:val="32"/>
        </w:rPr>
        <w:t>项目决策情况</w:t>
      </w:r>
    </w:p>
    <w:p>
      <w:pPr>
        <w:tabs>
          <w:tab w:val="center" w:pos="4295"/>
        </w:tabs>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1.立项依据充分性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（1）根据中央、自治区、自治州《关于进一步做好新形势下就业创业工作的意见》</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（2）昌州财社[2022]41号关于提前下达2023年中央就业补助资金的通知、昌州财社[2023]22号关于拨付2023年中央财政就业补助资金（第二批）预算的通知文件规定</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（3）按照中央、区、州、县经济工作会议精神，坚决落实“六稳”“六保”任务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2.立项程序规范性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①项目立项程序：提报项目建议书、申请立项过程等均按照立项程序的相关规定进行；</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②审批文件、材料：本项目审批文件有：昌州财社[2022]41号关于提前下达2023年中央就业补助资金的通知、昌州财社[2023]22号关于拨付2023年中央财政就业补助资金（第二批）预算的通知审批文件及材料齐全；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3.绩效目标合理性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2023年中央就业补助资金项目设立了项目绩效目标，与就业创业工作具有相关性，项目的预期产出效益和效果也均能符合正常的业绩水平，并且与预算确定的项目投资额或资金量相匹配。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4.绩效指标明确性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2023年中央就业补助资金项目将项目绩效目标细化分解为具体的绩效指标，一级指标共四条，二级指标共八条，三级指标共21条，其中量化指标条数共21条，所有绩效指标均通过清晰、可衡量的指标值予以体现，并且做到了与项目目标任务数或计划数相对应。</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5.预算编制科学性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本项目补助对象严格按照规定发放，项目预算编制根据项目实施内容进行计算，预算数经过会议论证确定，预算内容与项目内容无偏差，预算额度测算依据充分，项目投资额与工作任务匹配性100%，不存在偏差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6.资金分配合理性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本项目预算资金分配依据《关于下达2023年木垒县部门预算批复的通知》（木财字｛2023｝24号），项目资金分配额度无偏低或偏高情况，分配额度合理。项目单位为人力资源和社会保障局位于木垒县，资金分配与单位实际相适应。</w:t>
      </w:r>
      <w:r>
        <w:rPr>
          <w:rStyle w:val="18"/>
          <w:rFonts w:hint="eastAsia" w:ascii="仿宋_GB2312" w:hAnsi="仿宋_GB2312" w:eastAsia="仿宋_GB2312" w:cs="仿宋_GB2312"/>
          <w:b w:val="0"/>
          <w:bCs w:val="0"/>
          <w:spacing w:val="-4"/>
          <w:sz w:val="32"/>
          <w:szCs w:val="32"/>
        </w:rPr>
        <w:tab/>
      </w:r>
    </w:p>
    <w:p>
      <w:pPr>
        <w:spacing w:line="540" w:lineRule="exact"/>
        <w:ind w:firstLine="567" w:firstLineChars="181"/>
        <w:rPr>
          <w:rStyle w:val="18"/>
          <w:rFonts w:hint="eastAsia" w:ascii="仿宋_GB2312" w:hAnsi="仿宋_GB2312" w:eastAsia="仿宋_GB2312" w:cs="仿宋_GB2312"/>
          <w:spacing w:val="-4"/>
          <w:sz w:val="32"/>
          <w:szCs w:val="32"/>
        </w:rPr>
      </w:pPr>
      <w:r>
        <w:rPr>
          <w:rFonts w:hint="eastAsia" w:ascii="仿宋_GB2312" w:hAnsi="仿宋_GB2312" w:eastAsia="仿宋_GB2312" w:cs="仿宋_GB2312"/>
          <w:b/>
          <w:spacing w:val="-4"/>
          <w:sz w:val="32"/>
          <w:szCs w:val="32"/>
        </w:rPr>
        <w:t>（二）</w:t>
      </w:r>
      <w:r>
        <w:rPr>
          <w:rStyle w:val="18"/>
          <w:rFonts w:hint="eastAsia" w:ascii="仿宋_GB2312" w:hAnsi="仿宋_GB2312" w:eastAsia="仿宋_GB2312" w:cs="仿宋_GB2312"/>
          <w:spacing w:val="-4"/>
          <w:sz w:val="32"/>
          <w:szCs w:val="32"/>
        </w:rPr>
        <w:t>项目过程情况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1.资金到位率：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实际到位资金1100万元，预算资金1100万元，资金到位率100%。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2.预算执行率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年初预算数700万元，全年预算数1100万元，全年执行数1100万元，预算执行率为100%。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3.资金使用合规性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3.1 资金使用符合、财务管理制度以及有关专项资金管理办法的规定；</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3.2 资金的拨付严格按照木垒县人力资源和社会保障局资金拨付审批程序进行：由就业培训科室提交资金拨付申请到副局长，经审批后提交到财务室。项目资金拨付手续齐全，资金拨付手续有：就业补助资金申请单、补助人员发放花名册等。</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 本项目资金合同规定的用途为：职业培训补贴、职业技能鉴定补贴、社会保险补贴、灵活就业社保补贴、企业吸纳新疆籍员工社保补贴、公益性岗位补贴、就业见习补贴等人员补助支出。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 项目资金截至2023年12月31日已拨付至100%，过程不存在截留、挤占、挪用、虚列支出等情况。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4.管理制度健全性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1.本项目已制定《木垒县人力资源和社会保障局中央就业补助资金项目财务管理制度》、《木垒县人力资源和社会保障局中央就业补助资金项目业务管理制度》，管理制度健全；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 本项目财务及业务管理制度符合《中华人民共和国会计法》等相关法律法规，财务和业务管理制度已经过财政局审批通过，确保了各项制度的合法合规性及完整性。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5.制度执行有效性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1 项目的审批、验收过程均遵守相关法律法规和相关管理规定；</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 本项目有调整情况：项目调整经过木垒县人力资源和社会保障局审批后，根据财政局批复进行，项目调整及支出调整手续完备；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 项目实施的人员条件、场地设备、信息支撑等均已落实到位。</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（三）</w:t>
      </w:r>
      <w:r>
        <w:rPr>
          <w:rStyle w:val="18"/>
          <w:rFonts w:hint="eastAsia" w:ascii="仿宋_GB2312" w:hAnsi="仿宋_GB2312" w:eastAsia="仿宋_GB2312" w:cs="仿宋_GB2312"/>
          <w:spacing w:val="-4"/>
          <w:sz w:val="32"/>
          <w:szCs w:val="32"/>
        </w:rPr>
        <w:t>项目产出情况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2023年中央就业补助资金项目截止到2023年12月31日，已完成完成城镇新增就业296人；城镇就业困难人员实现就业14人，失业再就业288人，新增创业145人，创业带动就业236人，职业技能培训7000人次，农村劳动力转移就业8034万人次，应届高校毕业生就业率达到90%以上目标。其中：</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1.项目完成数量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指标1：享受职业技能补贴人数，指标值：≥750人，实际完成值1902人，指标完成率253.6 %，偏差原因：流动人口过多，年初目标未精确。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指标2：享受职业技能鉴定补贴人数，指标值：≥150人，实际完成值0人 ，指标完成率0 %，偏差原因：流动人口过多，年初目标未精确。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指标3：享受社会保险补贴人数，指标值：≥700人，实际完成值884人 ，指标完成率126.28%，偏差原因：流动人口过多，年初目标未精确。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指标4：享受公益性岗位补贴人数，指标值：≥400人，实际完成值395人 ，指标完成率98.75%，偏差原因：流动人口过多，年初目标未精确。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指标5：享受就业见习补贴人数，指标值：≥10人，实际完成值16人 ，指标完成率160%，偏差原因：流动人口过多，年初目标未精确。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指标6：农村富余劳动力转移就业人次，指标值：≥14600人次，实际完成值15297人次 ，指标完成率104.77%，偏差原因：流动人口过多，年初目标未精确。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指标7：城镇新增就业人数，指标值：≥750人，实际完成值778人 ，指标完成率103.73，偏差原因：流动人口过多，年初目标未精确。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指标8：失业人员再就业人数，指标值：≥270人，实际完成值609人 ，指标完成率255.55，偏差原因：流动人口过多，年初目标未精确。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指标9：就业困难人员再就业人数，指标值：≥60人，实际完成值63人 ，指标完成率105%，偏差原因：流动人口过多，年初目标未精确。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2.项目完成质量：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指标1：补助标准执行率，指标值：=100%，实际完成值100%  ，指标完成率100 %；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3.项目完成时效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指标1：各类补助资金发放及时率，指标值：≥98% ，实际完成值98%，指标完成率100%；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指标2补贴发放及时率，指标值：≥95%，实际完成值95%，指标完成率100%。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4.项目完成成本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指标1：职业培训补贴人均标准，指标值：小于等于1400元/年，实际完成值1400元/年，指标完成率100%。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指标2：职业技能鉴定补贴人均标准，指标值：≥155元/工种 ，实际完成值155元/工种，指标完成率100%；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指标3：社会保险补贴人均标准，指标值：&lt;=7621元/年，实际完成值7621元/年，指标完成率100%；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指标4：公益性岗位补贴人均标准，指标值&lt;=965元/月，实际完成值965元/月，指标完成率100%；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指标5：因就业问题发生重大群体事件数量，指标值=0起，实际完成值0起，指标完成率100%；</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（四）</w:t>
      </w:r>
      <w:r>
        <w:rPr>
          <w:rStyle w:val="18"/>
          <w:rFonts w:hint="eastAsia" w:ascii="仿宋_GB2312" w:hAnsi="仿宋_GB2312" w:eastAsia="仿宋_GB2312" w:cs="仿宋_GB2312"/>
          <w:spacing w:val="-4"/>
          <w:sz w:val="32"/>
          <w:szCs w:val="32"/>
        </w:rPr>
        <w:t>项目效益情况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截止项目自评，我单位已向木垒县各类劳动力和吸纳企业发放就业补助资金，更好的发挥就业补助资金的作用，鼓励带动就业积极性，实现零就业家庭帮扶，高校毕业生总体就业率达到90%，就业人员对公共就业服务满意度达到95%，保障了我县就业工作平稳运行。</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我单位2023年中央就业补助资金项目截止到2023年12月31日，已完成100万；其中：</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1.项目实施的社会效益分析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指标1：零就业家庭帮扶率，指标值≥98%，实际完成值98%，指标完成率100%；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指标2：年末高校毕业生总体就业率，指标值≥90%，实际完成值90%，指标完成率100%；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指标3：城镇调查失业率，指标值&lt;=3.5%，实际完成值&lt;=3.5%，指标完成率100%</w:t>
      </w:r>
    </w:p>
    <w:p>
      <w:pPr>
        <w:spacing w:line="540" w:lineRule="exact"/>
        <w:ind w:firstLine="567"/>
        <w:rPr>
          <w:rStyle w:val="18"/>
          <w:rFonts w:hint="eastAsia" w:ascii="仿宋_GB2312" w:hAnsi="仿宋_GB2312" w:eastAsia="仿宋_GB2312" w:cs="仿宋_GB2312"/>
          <w:spacing w:val="-4"/>
          <w:sz w:val="32"/>
          <w:szCs w:val="32"/>
        </w:rPr>
      </w:pPr>
    </w:p>
    <w:p>
      <w:pPr>
        <w:numPr>
          <w:ilvl w:val="0"/>
          <w:numId w:val="1"/>
        </w:num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预算执行进度与绩效指标偏差</w:t>
      </w:r>
    </w:p>
    <w:p>
      <w:pPr>
        <w:spacing w:line="540" w:lineRule="exact"/>
        <w:ind w:firstLine="567"/>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bCs w:val="0"/>
          <w:spacing w:val="-4"/>
          <w:sz w:val="32"/>
          <w:szCs w:val="32"/>
        </w:rPr>
        <w:t>根据2023年就业补助资资金发放内容及项目进度，木垒县人社局于2023年2月3日拨付90.71万元至木垒县各单位及社区、于2023年4月6日拨付180.99万元至木垒县各乡镇、于2023年6月21日拨付351.58万元木垒县各单位及各乡镇公司。于2023年8月1日拨付204.71万元至木垒县各单位及各乡镇、于2023年10月13日拨付158.45万元至各单位及乡镇、于2023年12月12日拨付213.6万元至各单位及乡镇。截至2023年12月31日已执行110万元，预算执行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（二）绩效指标偏差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本项目绩效指标存在偏差的有：享受职业技能补贴人数指标、享受职业技能鉴定补贴人数指标、享受社会保险补贴人数指标，享受公益性岗位补贴人数指标、享受就业见习补贴人数指标、农村富余劳动力转移就业人次指标、城镇新增就业人数指标、失业人员再就业指标、就业困难人员再就业人数指标，偏差原因：流动人口过多，年初目标未精确。</w:t>
      </w:r>
    </w:p>
    <w:p>
      <w:pPr>
        <w:numPr>
          <w:ilvl w:val="0"/>
          <w:numId w:val="1"/>
        </w:num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主要经验及做法、存在的问题及原因分析</w:t>
      </w:r>
    </w:p>
    <w:p>
      <w:pPr>
        <w:spacing w:line="540" w:lineRule="exact"/>
        <w:ind w:firstLine="567"/>
        <w:rPr>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（一）主要经验及做法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1.社保补贴、岗位补贴、灵活就业人员社保补贴是按季度或半年审核支付一次，这在很大程度上造成了大量资金集中到年底支付，导致年内资金支出进度不均衡；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2.就业创业补助资金支出范围广、项目多，涉及群体多、人数多，不仅有职业培训补贴、求职创业补贴等促进性支出，还有社保补贴、岗位补贴等保障性支出。近年来，对补助资金进行了绩效评价，但效果不理想，亟待形成一套科学合理的评价指标体系。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（1）是领导高度重视。专项资金预算下拨后，主要领导和分管领导高度重视，落实责任分工，确保项目顺利进行。</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（2）是管理愈加规范。制定了专项资金管理工作制度，明确了资金付款流程，统一了资金申请手续，做到了层层审核、层层负责、层层把关，付款中全部要求请款单位提供正规发票，没用白条入账现象。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（二）后续工作计划</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我们将进一步加强资金管理、项目管理，用制度、用规范来有效</w:t>
      </w:r>
      <w:bookmarkStart w:id="0" w:name="_GoBack"/>
      <w:bookmarkEnd w:id="0"/>
      <w:r>
        <w:rPr>
          <w:rStyle w:val="18"/>
          <w:rFonts w:hint="eastAsia" w:ascii="仿宋_GB2312" w:hAnsi="仿宋_GB2312" w:eastAsia="仿宋_GB2312" w:cs="仿宋_GB2312"/>
          <w:b w:val="0"/>
          <w:bCs w:val="0"/>
          <w:spacing w:val="-4"/>
          <w:sz w:val="32"/>
          <w:szCs w:val="32"/>
        </w:rPr>
        <w:t>提高项目进度，专人负责资金、专人负责项目现场管理，确保该项目在既定时间内完成所有工程量，达到预期效果。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（三）存在的问题及原因分析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1.存在的问题：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2.改进措施：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（1）科学编制预算，提高预算与目标匹配度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对此，预算单位会同财政部门共同梳理项目绩效目标，合理测算项目工作量，科学编制预算。</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七</w:t>
      </w:r>
      <w:r>
        <w:rPr>
          <w:rStyle w:val="18"/>
          <w:rFonts w:hint="eastAsia" w:ascii="仿宋_GB2312" w:hAnsi="仿宋_GB2312" w:eastAsia="仿宋_GB2312" w:cs="仿宋_GB2312"/>
          <w:b w:val="0"/>
          <w:spacing w:val="-4"/>
          <w:sz w:val="32"/>
          <w:szCs w:val="32"/>
        </w:rPr>
        <w:t>、有关建议</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八</w:t>
      </w:r>
      <w:r>
        <w:rPr>
          <w:rStyle w:val="18"/>
          <w:rFonts w:hint="eastAsia" w:ascii="仿宋_GB2312" w:hAnsi="仿宋_GB2312" w:eastAsia="仿宋_GB2312" w:cs="仿宋_GB2312"/>
          <w:b w:val="0"/>
          <w:spacing w:val="-4"/>
          <w:sz w:val="32"/>
          <w:szCs w:val="32"/>
        </w:rPr>
        <w:t>、其他需要说明的问题</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无</w:t>
      </w: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7CC781A"/>
    <w:rsid w:val="18FE139B"/>
    <w:rsid w:val="1E944CBA"/>
    <w:rsid w:val="255C215A"/>
    <w:rsid w:val="3029612C"/>
    <w:rsid w:val="32A221C5"/>
    <w:rsid w:val="33F20F2A"/>
    <w:rsid w:val="34C44675"/>
    <w:rsid w:val="3B5B5607"/>
    <w:rsid w:val="3CE21B3C"/>
    <w:rsid w:val="45D3422D"/>
    <w:rsid w:val="4D2606A1"/>
    <w:rsid w:val="51830480"/>
    <w:rsid w:val="53A616BE"/>
    <w:rsid w:val="54662BFB"/>
    <w:rsid w:val="62051CA5"/>
    <w:rsid w:val="6C3A69EF"/>
    <w:rsid w:val="6CD969DD"/>
    <w:rsid w:val="7AF31A24"/>
    <w:rsid w:val="7BDF2CF1"/>
    <w:rsid w:val="7DB12889"/>
    <w:rsid w:val="7FE41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7901</Words>
  <Characters>8503</Characters>
  <Lines>4</Lines>
  <Paragraphs>1</Paragraphs>
  <TotalTime>2</TotalTime>
  <ScaleCrop>false</ScaleCrop>
  <LinksUpToDate>false</LinksUpToDate>
  <CharactersWithSpaces>8590</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2024-08-13T03:12:27Z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4BA897B1A86A4ECD8962D8FC3A5002D8</vt:lpwstr>
  </property>
</Properties>
</file>